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444089" w:rsidRDefault="00444089">
      <w:pPr>
        <w:pBdr>
          <w:top w:val="nil"/>
          <w:left w:val="nil"/>
          <w:bottom w:val="nil"/>
          <w:right w:val="nil"/>
          <w:between w:val="nil"/>
        </w:pBdr>
        <w:spacing w:after="0" w:line="240" w:lineRule="auto"/>
        <w:rPr>
          <w:rFonts w:ascii="Arial" w:eastAsia="Arial" w:hAnsi="Arial" w:cs="Arial"/>
          <w:color w:val="000000"/>
          <w:sz w:val="24"/>
          <w:szCs w:val="24"/>
        </w:rPr>
      </w:pPr>
    </w:p>
    <w:p w:rsidR="00444089" w:rsidRDefault="002D7807">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[Buyer Guidance: Buyers should consider including Call Off Schedule 9 (Security) to ensure their Call-Off Contract contains adequate security measures in order to protect Personal Data in compliance with Annex B of the GDPR PPN 03/22]</w:t>
      </w:r>
    </w:p>
    <w:p w:rsidR="00444089" w:rsidRDefault="0044408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444089" w:rsidRDefault="002D780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44089">
        <w:tc>
          <w:tcPr>
            <w:tcW w:w="2263" w:type="dxa"/>
          </w:tcPr>
          <w:p w:rsidR="00444089" w:rsidRDefault="002D780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rsidR="00444089" w:rsidRDefault="002D7807">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444089">
        <w:tc>
          <w:tcPr>
            <w:tcW w:w="2263" w:type="dxa"/>
          </w:tcPr>
          <w:p w:rsidR="00444089" w:rsidRDefault="002D780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rsidR="00444089" w:rsidRDefault="002D7807">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w:t>
            </w:r>
            <w:r>
              <w:rPr>
                <w:rFonts w:ascii="Arial" w:eastAsia="Arial" w:hAnsi="Arial" w:cs="Arial"/>
                <w:sz w:val="24"/>
                <w:szCs w:val="24"/>
              </w:rPr>
              <w:t>mine the purposes and means of Processing;</w:t>
            </w:r>
          </w:p>
        </w:tc>
      </w:tr>
      <w:tr w:rsidR="00444089">
        <w:tc>
          <w:tcPr>
            <w:tcW w:w="2263" w:type="dxa"/>
          </w:tcPr>
          <w:p w:rsidR="00444089" w:rsidRDefault="002D780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444089" w:rsidRDefault="002D780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444089" w:rsidRDefault="002D780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w:t>
      </w:r>
      <w:r>
        <w:rPr>
          <w:rFonts w:ascii="Arial" w:eastAsia="Arial" w:hAnsi="Arial" w:cs="Arial"/>
          <w:sz w:val="24"/>
          <w:szCs w:val="24"/>
        </w:rPr>
        <w:t xml:space="preserve"> under the DPA 2018. A Party may act as:</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444089" w:rsidRDefault="002D780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444089" w:rsidRDefault="002D780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Controller and may not be determined by the Processor.</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notify the Controller immediately if it considers that any of the Controller’s instructions infringe the Data Protection Le</w:t>
      </w:r>
      <w:r>
        <w:rPr>
          <w:rFonts w:ascii="Arial" w:eastAsia="Arial" w:hAnsi="Arial" w:cs="Arial"/>
          <w:sz w:val="24"/>
          <w:szCs w:val="24"/>
        </w:rPr>
        <w:t>gislation.</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w:t>
      </w:r>
      <w:r>
        <w:rPr>
          <w:rFonts w:ascii="Arial" w:eastAsia="Arial" w:hAnsi="Arial" w:cs="Arial"/>
          <w:sz w:val="24"/>
          <w:szCs w:val="24"/>
        </w:rPr>
        <w:t>tic description of the envisaged Processing and the purpose of the Processing;</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w:t>
      </w:r>
      <w:r>
        <w:rPr>
          <w:rFonts w:ascii="Arial" w:eastAsia="Arial" w:hAnsi="Arial" w:cs="Arial"/>
          <w:sz w:val="24"/>
          <w:szCs w:val="24"/>
        </w:rPr>
        <w:t>tract: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w:t>
      </w:r>
      <w:r>
        <w:rPr>
          <w:rFonts w:ascii="Arial" w:eastAsia="Arial" w:hAnsi="Arial" w:cs="Arial"/>
          <w:sz w:val="24"/>
          <w:szCs w:val="24"/>
        </w:rPr>
        <w:t>ify the Controller before Processing the Personal Data unless prohibited by Law;</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Personal Data Breach, including in the case of the Supplier the measures set out in C</w:t>
      </w:r>
      <w:r>
        <w:rPr>
          <w:rFonts w:ascii="Arial" w:eastAsia="Arial" w:hAnsi="Arial" w:cs="Arial"/>
          <w:sz w:val="24"/>
          <w:szCs w:val="24"/>
        </w:rPr>
        <w:t>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In the event of the Controller reasonably rejecting Protective Measures put in place by the Processor, the Processor must propose alternative Protective Measures to the satisfaction</w:t>
      </w:r>
      <w:r>
        <w:rPr>
          <w:rFonts w:ascii="Arial" w:eastAsia="Arial" w:hAnsi="Arial" w:cs="Arial"/>
          <w:sz w:val="24"/>
          <w:szCs w:val="24"/>
        </w:rPr>
        <w:t xml:space="preserve"> of the Controller. Failure to reject shall not amount to approval by the Controller of the adequacy of the Protective Measures. Protective Measures must take account of the:</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444089" w:rsidRDefault="002D7807">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w:t>
      </w:r>
      <w:r>
        <w:rPr>
          <w:rFonts w:ascii="Arial" w:eastAsia="Arial" w:hAnsi="Arial" w:cs="Arial"/>
          <w:sz w:val="24"/>
          <w:szCs w:val="24"/>
        </w:rPr>
        <w:t>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w:t>
      </w:r>
      <w:proofErr w:type="gramStart"/>
      <w:r>
        <w:rPr>
          <w:rFonts w:ascii="Arial" w:eastAsia="Arial" w:hAnsi="Arial" w:cs="Arial"/>
          <w:sz w:val="24"/>
          <w:szCs w:val="24"/>
        </w:rPr>
        <w:t>uses  all</w:t>
      </w:r>
      <w:proofErr w:type="gramEnd"/>
      <w:r>
        <w:rPr>
          <w:rFonts w:ascii="Arial" w:eastAsia="Arial" w:hAnsi="Arial" w:cs="Arial"/>
          <w:sz w:val="24"/>
          <w:szCs w:val="24"/>
        </w:rPr>
        <w:t xml:space="preserve"> reasonable endeavours  to ensure the reliability and inte</w:t>
      </w:r>
      <w:r>
        <w:rPr>
          <w:rFonts w:ascii="Arial" w:eastAsia="Arial" w:hAnsi="Arial" w:cs="Arial"/>
          <w:sz w:val="24"/>
          <w:szCs w:val="24"/>
        </w:rPr>
        <w:t>grity of any Processor Personnel who have access to the Personal Data and ensure that they:</w:t>
      </w:r>
    </w:p>
    <w:p w:rsidR="00444089" w:rsidRDefault="002D7807">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444089" w:rsidRDefault="002D7807">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444089" w:rsidRDefault="002D7807">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w:t>
      </w:r>
      <w:r>
        <w:rPr>
          <w:rFonts w:ascii="Arial" w:eastAsia="Arial" w:hAnsi="Arial" w:cs="Arial"/>
          <w:sz w:val="24"/>
          <w:szCs w:val="24"/>
        </w:rPr>
        <w:t>he Personal Data to any third party unless directed in writing to do so by the Controller or as otherwise permitted by the Contract; and</w:t>
      </w:r>
    </w:p>
    <w:p w:rsidR="00444089" w:rsidRDefault="002D7807">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w:t>
      </w:r>
      <w:r>
        <w:rPr>
          <w:rFonts w:ascii="Arial" w:eastAsia="Arial" w:hAnsi="Arial" w:cs="Arial"/>
          <w:sz w:val="24"/>
          <w:szCs w:val="24"/>
        </w:rPr>
        <w:t xml:space="preserve">a outside of the </w:t>
      </w:r>
      <w:proofErr w:type="gramStart"/>
      <w:r>
        <w:rPr>
          <w:rFonts w:ascii="Arial" w:eastAsia="Arial" w:hAnsi="Arial" w:cs="Arial"/>
          <w:sz w:val="24"/>
          <w:szCs w:val="24"/>
        </w:rPr>
        <w:t>UK  unless</w:t>
      </w:r>
      <w:proofErr w:type="gramEnd"/>
      <w:r>
        <w:rPr>
          <w:rFonts w:ascii="Arial" w:eastAsia="Arial" w:hAnsi="Arial" w:cs="Arial"/>
          <w:sz w:val="24"/>
          <w:szCs w:val="24"/>
        </w:rPr>
        <w:t xml:space="preserve"> the prior written consent of the Controller has been obtained and the following conditions are fulfilled:</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 xml:space="preserve">the destination country has been recognised as adequate by the UK government in accordance with Article 45 of the UK GDPR </w:t>
      </w:r>
      <w:r>
        <w:rPr>
          <w:rFonts w:ascii="Arial" w:eastAsia="Arial" w:hAnsi="Arial" w:cs="Arial"/>
          <w:sz w:val="24"/>
          <w:szCs w:val="24"/>
        </w:rPr>
        <w:t>(or section 74 of the DPA 2018); or</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 as determined by the Controller which could i</w:t>
      </w:r>
      <w:r>
        <w:rPr>
          <w:rFonts w:ascii="Arial" w:eastAsia="Arial" w:hAnsi="Arial" w:cs="Arial"/>
          <w:sz w:val="24"/>
          <w:szCs w:val="24"/>
        </w:rPr>
        <w:t>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w:t>
      </w:r>
      <w:r>
        <w:rPr>
          <w:rFonts w:ascii="Arial" w:eastAsia="Arial" w:hAnsi="Arial" w:cs="Arial"/>
          <w:sz w:val="24"/>
          <w:szCs w:val="24"/>
        </w:rPr>
        <w:t>ime to time under section 119A(1) of the DPA 2018, as well as any additional measures determined by the Controller;</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 xml:space="preserve">the Processor complies with its obligations </w:t>
      </w:r>
      <w:proofErr w:type="gramStart"/>
      <w:r>
        <w:rPr>
          <w:rFonts w:ascii="Arial" w:eastAsia="Arial" w:hAnsi="Arial" w:cs="Arial"/>
          <w:sz w:val="24"/>
          <w:szCs w:val="24"/>
        </w:rPr>
        <w:t>under  Data</w:t>
      </w:r>
      <w:proofErr w:type="gramEnd"/>
      <w:r>
        <w:rPr>
          <w:rFonts w:ascii="Arial" w:eastAsia="Arial" w:hAnsi="Arial" w:cs="Arial"/>
          <w:sz w:val="24"/>
          <w:szCs w:val="24"/>
        </w:rPr>
        <w:t xml:space="preserve"> Protection Leg</w:t>
      </w:r>
      <w:r>
        <w:rPr>
          <w:rFonts w:ascii="Arial" w:eastAsia="Arial" w:hAnsi="Arial" w:cs="Arial"/>
          <w:sz w:val="24"/>
          <w:szCs w:val="24"/>
        </w:rPr>
        <w:t xml:space="preserve">islation by providing an adequate level of protection to any Personal Data that is transferred (or, if it is not so bound, uses its best endeavours to </w:t>
      </w:r>
      <w:bookmarkStart w:id="10" w:name="_GoBack"/>
      <w:bookmarkEnd w:id="10"/>
      <w:r>
        <w:rPr>
          <w:rFonts w:ascii="Arial" w:eastAsia="Arial" w:hAnsi="Arial" w:cs="Arial"/>
          <w:sz w:val="24"/>
          <w:szCs w:val="24"/>
        </w:rPr>
        <w:t>assist the Controller in meeting its obligations); and</w:t>
      </w:r>
    </w:p>
    <w:p w:rsidR="00444089" w:rsidRDefault="002D7807">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2s8eyo1" w:colFirst="0" w:colLast="0"/>
      <w:bookmarkEnd w:id="11"/>
      <w:r>
        <w:rPr>
          <w:rFonts w:ascii="Arial" w:eastAsia="Arial" w:hAnsi="Arial" w:cs="Arial"/>
          <w:sz w:val="24"/>
          <w:szCs w:val="24"/>
        </w:rPr>
        <w:t xml:space="preserve">the Processor complies with any reasonable instructions notified to it in advance by the Controller with respect to the Processing of the Personal Data;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17dp8vu" w:colFirst="0" w:colLast="0"/>
      <w:bookmarkEnd w:id="12"/>
      <w:r>
        <w:rPr>
          <w:rFonts w:ascii="Arial" w:eastAsia="Arial" w:hAnsi="Arial" w:cs="Arial"/>
          <w:sz w:val="24"/>
          <w:szCs w:val="24"/>
        </w:rPr>
        <w:t>where the Personal Data is subject to EU GDPR, not transfer Personal Data outside of the EU unless the</w:t>
      </w:r>
      <w:r>
        <w:rPr>
          <w:rFonts w:ascii="Arial" w:eastAsia="Arial" w:hAnsi="Arial" w:cs="Arial"/>
          <w:sz w:val="24"/>
          <w:szCs w:val="24"/>
        </w:rPr>
        <w:t xml:space="preserve"> prior written consent of the Controller has been obtained and the following conditions are fulfilled:</w:t>
      </w:r>
    </w:p>
    <w:p w:rsidR="00444089" w:rsidRDefault="002D7807">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rsidR="00444089" w:rsidRDefault="002D7807">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Processor has provided appropriate safeguards in relation to the transfer in accorda</w:t>
      </w:r>
      <w:r>
        <w:rPr>
          <w:rFonts w:ascii="Arial" w:eastAsia="Arial" w:hAnsi="Arial" w:cs="Arial"/>
          <w:sz w:val="24"/>
          <w:szCs w:val="24"/>
        </w:rPr>
        <w:t xml:space="preserve">nce with Article 46 of the EU GDPR as determined by the Controller which could include relevant parties </w:t>
      </w:r>
      <w:r>
        <w:rPr>
          <w:rFonts w:ascii="Arial" w:eastAsia="Arial" w:hAnsi="Arial" w:cs="Arial"/>
          <w:sz w:val="24"/>
          <w:szCs w:val="24"/>
        </w:rPr>
        <w:lastRenderedPageBreak/>
        <w:t>entering into Standard Contractual Clauses in the European Commission’s decision 2021/914/EU or such updated version of such Standard Contractual Clause</w:t>
      </w:r>
      <w:r>
        <w:rPr>
          <w:rFonts w:ascii="Arial" w:eastAsia="Arial" w:hAnsi="Arial" w:cs="Arial"/>
          <w:sz w:val="24"/>
          <w:szCs w:val="24"/>
        </w:rPr>
        <w:t>s as are published by the European Commission from time to time as well as any additional measures determined by the Controller;</w:t>
      </w:r>
    </w:p>
    <w:p w:rsidR="00444089" w:rsidRDefault="002D7807">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444089" w:rsidRDefault="002D7807">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w:t>
      </w:r>
      <w:r>
        <w:rPr>
          <w:rFonts w:ascii="Arial" w:eastAsia="Arial" w:hAnsi="Arial" w:cs="Arial"/>
          <w:sz w:val="24"/>
          <w:szCs w:val="24"/>
        </w:rPr>
        <w:t xml:space="preserve">GDPR by providing an adequate level of protection to any Personal Data that is transferred (or, if it is not so bound, uses its best endeavours to assist the Controller in meeting its obligations); </w:t>
      </w:r>
    </w:p>
    <w:p w:rsidR="00444089" w:rsidRDefault="002D7807">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w:t>
      </w:r>
      <w:r>
        <w:rPr>
          <w:rFonts w:ascii="Arial" w:eastAsia="Arial" w:hAnsi="Arial" w:cs="Arial"/>
          <w:sz w:val="24"/>
          <w:szCs w:val="24"/>
        </w:rPr>
        <w:t xml:space="preserve">otified to it in advance by the Controller with respect to the processing of the Personal Data; and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w:t>
      </w:r>
      <w:r>
        <w:rPr>
          <w:rFonts w:ascii="Arial" w:eastAsia="Arial" w:hAnsi="Arial" w:cs="Arial"/>
          <w:sz w:val="24"/>
          <w:szCs w:val="24"/>
        </w:rPr>
        <w:t>he Processor is required by Law to retain the Personal Data.</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3rdcrjn" w:colFirst="0" w:colLast="0"/>
      <w:bookmarkEnd w:id="13"/>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other request, complaint or communication relating to either Party's obligations under the Da</w:t>
      </w:r>
      <w:r>
        <w:rPr>
          <w:rFonts w:ascii="Arial" w:eastAsia="Arial" w:hAnsi="Arial" w:cs="Arial"/>
          <w:sz w:val="24"/>
          <w:szCs w:val="24"/>
        </w:rPr>
        <w:t xml:space="preserve">ta Protection Legislation;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w:t>
      </w:r>
      <w:r>
        <w:rPr>
          <w:rFonts w:ascii="Arial" w:eastAsia="Arial" w:hAnsi="Arial" w:cs="Arial"/>
          <w:sz w:val="24"/>
          <w:szCs w:val="24"/>
        </w:rPr>
        <w:t>ta where compliance with such request is required or purported to be required by Law; or</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w:t>
      </w:r>
      <w:r>
        <w:rPr>
          <w:rFonts w:ascii="Arial" w:eastAsia="Arial" w:hAnsi="Arial" w:cs="Arial"/>
          <w:sz w:val="24"/>
          <w:szCs w:val="24"/>
        </w:rPr>
        <w:t>de the Controller with full assistance in relation to either Party's obligations under Data Protection Legislation and any complaint, communication or request made under paragraph 7 of this Joint Schedule 11 (and insofar as possible within the timescales r</w:t>
      </w:r>
      <w:r>
        <w:rPr>
          <w:rFonts w:ascii="Arial" w:eastAsia="Arial" w:hAnsi="Arial" w:cs="Arial"/>
          <w:sz w:val="24"/>
          <w:szCs w:val="24"/>
        </w:rPr>
        <w:t xml:space="preserve">easonably required by the Controller) including but not limited to </w:t>
      </w:r>
      <w:proofErr w:type="gramStart"/>
      <w:r>
        <w:rPr>
          <w:rFonts w:ascii="Arial" w:eastAsia="Arial" w:hAnsi="Arial" w:cs="Arial"/>
          <w:sz w:val="24"/>
          <w:szCs w:val="24"/>
        </w:rPr>
        <w:t>promptly  providing</w:t>
      </w:r>
      <w:proofErr w:type="gramEnd"/>
      <w:r>
        <w:rPr>
          <w:rFonts w:ascii="Arial" w:eastAsia="Arial" w:hAnsi="Arial" w:cs="Arial"/>
          <w:sz w:val="24"/>
          <w:szCs w:val="24"/>
        </w:rPr>
        <w: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w:t>
      </w:r>
      <w:proofErr w:type="gramStart"/>
      <w:r>
        <w:rPr>
          <w:rFonts w:ascii="Arial" w:eastAsia="Arial" w:hAnsi="Arial" w:cs="Arial"/>
          <w:sz w:val="24"/>
          <w:szCs w:val="24"/>
        </w:rPr>
        <w:t>Contr</w:t>
      </w:r>
      <w:r>
        <w:rPr>
          <w:rFonts w:ascii="Arial" w:eastAsia="Arial" w:hAnsi="Arial" w:cs="Arial"/>
          <w:sz w:val="24"/>
          <w:szCs w:val="24"/>
        </w:rPr>
        <w:t>oller  to</w:t>
      </w:r>
      <w:proofErr w:type="gramEnd"/>
      <w:r>
        <w:rPr>
          <w:rFonts w:ascii="Arial" w:eastAsia="Arial" w:hAnsi="Arial" w:cs="Arial"/>
          <w:sz w:val="24"/>
          <w:szCs w:val="24"/>
        </w:rPr>
        <w:t xml:space="preserve"> comply with a Data Subject Access Request within the relevant timescales set out in the Data Protection Legislation;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w:t>
      </w:r>
      <w:r>
        <w:rPr>
          <w:rFonts w:ascii="Arial" w:eastAsia="Arial" w:hAnsi="Arial" w:cs="Arial"/>
          <w:sz w:val="24"/>
          <w:szCs w:val="24"/>
        </w:rPr>
        <w:t xml:space="preserve">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other regulatory authority, or any consultation by the Controller with the Informa</w:t>
      </w:r>
      <w:r>
        <w:rPr>
          <w:rFonts w:ascii="Arial" w:eastAsia="Arial" w:hAnsi="Arial" w:cs="Arial"/>
          <w:sz w:val="24"/>
          <w:szCs w:val="24"/>
        </w:rPr>
        <w:t>tion Commissioner's Office or any other regulatory authority.</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maintain complete and accurate records and information to demonstrate its compliance with this Joint Schedule 11. This requirement does not apply where the Processor employs </w:t>
      </w:r>
      <w:r>
        <w:rPr>
          <w:rFonts w:ascii="Arial" w:eastAsia="Arial" w:hAnsi="Arial" w:cs="Arial"/>
          <w:sz w:val="24"/>
          <w:szCs w:val="24"/>
        </w:rPr>
        <w:t>fewer than 250 staff, unless:</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4" w:name="_heading=h.26in1rg" w:colFirst="0" w:colLast="0"/>
      <w:bookmarkEnd w:id="14"/>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lnxbz9" w:colFirst="0" w:colLast="0"/>
      <w:bookmarkEnd w:id="15"/>
      <w:r>
        <w:rPr>
          <w:rFonts w:ascii="Arial" w:eastAsia="Arial" w:hAnsi="Arial" w:cs="Arial"/>
          <w:sz w:val="24"/>
          <w:szCs w:val="24"/>
        </w:rPr>
        <w:t>The Processor shall allow for audits of its Data Processing activity by the Controller or the Controller’s designated auditor.</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444089" w:rsidRDefault="002D7807">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6" w:name="bookmark=id.35nkun2" w:colFirst="0" w:colLast="0"/>
      <w:bookmarkEnd w:id="16"/>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w:t>
      </w:r>
      <w:r>
        <w:rPr>
          <w:rFonts w:ascii="Arial" w:eastAsia="Arial" w:hAnsi="Arial" w:cs="Arial"/>
          <w:sz w:val="24"/>
          <w:szCs w:val="24"/>
        </w:rPr>
        <w:lastRenderedPageBreak/>
        <w:t>controller to processor standard clauses or similar terms forming part of an applicable certification scheme (which shall apply when incorporated by attachment to the Contract).</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ree to take account of any non-mandatory guidance issued by the Information Commissioner’s Office, any relevant Central Government Body and/or any other regulatory authority. The Relevant Authority may on not less than thirty (30) Working Days’ notice to t</w:t>
      </w:r>
      <w:r>
        <w:rPr>
          <w:rFonts w:ascii="Arial" w:eastAsia="Arial" w:hAnsi="Arial" w:cs="Arial"/>
          <w:sz w:val="24"/>
          <w:szCs w:val="24"/>
        </w:rPr>
        <w:t xml:space="preserve">he Supplier amend the Contract to ensure that it complies with any non-mandatory guidance issued by the Information Commissioner’s Office, relevant Central Government Body and/or any other regulatory authority. </w:t>
      </w:r>
    </w:p>
    <w:p w:rsidR="00444089" w:rsidRDefault="002D780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w:t>
      </w:r>
      <w:r>
        <w:rPr>
          <w:rFonts w:ascii="Arial" w:eastAsia="Arial" w:hAnsi="Arial" w:cs="Arial"/>
          <w:sz w:val="24"/>
          <w:szCs w:val="24"/>
        </w:rPr>
        <w:t xml:space="preserve">on the terms set out in Annex 2 to this Joint Schedule 11. </w:t>
      </w:r>
    </w:p>
    <w:p w:rsidR="00444089" w:rsidRDefault="002D780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w:t>
      </w:r>
      <w:r>
        <w:rPr>
          <w:rFonts w:ascii="Arial" w:eastAsia="Arial" w:hAnsi="Arial" w:cs="Arial"/>
          <w:sz w:val="24"/>
          <w:szCs w:val="24"/>
        </w:rPr>
        <w:t>he Parties, each Party undertakes to comply with the applicable Data Protection Legislation in respect of their Processing of such Personal Data as Controller.</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w:t>
      </w:r>
      <w:r>
        <w:rPr>
          <w:rFonts w:ascii="Arial" w:eastAsia="Arial" w:hAnsi="Arial" w:cs="Arial"/>
          <w:sz w:val="24"/>
          <w:szCs w:val="24"/>
        </w:rPr>
        <w:t xml:space="preserve">tection Legislation and not do anything to cause the other Party to be in breach of it.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w:t>
      </w:r>
      <w:r>
        <w:rPr>
          <w:rFonts w:ascii="Arial" w:eastAsia="Arial" w:hAnsi="Arial" w:cs="Arial"/>
          <w:sz w:val="24"/>
          <w:szCs w:val="24"/>
        </w:rPr>
        <w:t>ovide all such relevant documents and information relating to its data protection policies and procedures as the other Party may reasonably require.</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w:t>
      </w:r>
      <w:r>
        <w:rPr>
          <w:rFonts w:ascii="Arial" w:eastAsia="Arial" w:hAnsi="Arial" w:cs="Arial"/>
          <w:sz w:val="24"/>
          <w:szCs w:val="24"/>
        </w:rPr>
        <w:t xml:space="preserve"> Processing of Personal Data for the purposes of the Contract.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w:t>
      </w:r>
      <w:r>
        <w:rPr>
          <w:rFonts w:ascii="Arial" w:eastAsia="Arial" w:hAnsi="Arial" w:cs="Arial"/>
          <w:sz w:val="24"/>
          <w:szCs w:val="24"/>
        </w:rPr>
        <w:t xml:space="preserve">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w:t>
      </w:r>
      <w:r>
        <w:rPr>
          <w:rFonts w:ascii="Arial" w:eastAsia="Arial" w:hAnsi="Arial" w:cs="Arial"/>
          <w:sz w:val="24"/>
          <w:szCs w:val="24"/>
        </w:rPr>
        <w:t>ormation and/or assistance as reasonably requested by the Request Recipient to help it respond to the request or correspondence, at the cost of the Request Recipient; or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w:t>
      </w:r>
      <w:r>
        <w:rPr>
          <w:rFonts w:ascii="Arial" w:eastAsia="Arial" w:hAnsi="Arial" w:cs="Arial"/>
          <w:sz w:val="24"/>
          <w:szCs w:val="24"/>
        </w:rPr>
        <w:t xml:space="preserve">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444089" w:rsidRDefault="002D7807">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w:t>
      </w:r>
      <w:r>
        <w:rPr>
          <w:rFonts w:ascii="Arial" w:eastAsia="Arial" w:hAnsi="Arial" w:cs="Arial"/>
          <w:sz w:val="24"/>
          <w:szCs w:val="24"/>
        </w:rPr>
        <w:t xml:space="preserve"> request or correspondence to the other Party; and</w:t>
      </w:r>
    </w:p>
    <w:p w:rsidR="00444089" w:rsidRDefault="002D7807">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444089" w:rsidRDefault="002D7807">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444089" w:rsidRDefault="00444089">
      <w:pPr>
        <w:pBdr>
          <w:top w:val="nil"/>
          <w:left w:val="nil"/>
          <w:bottom w:val="nil"/>
          <w:right w:val="nil"/>
          <w:between w:val="nil"/>
        </w:pBdr>
        <w:spacing w:before="280" w:after="120"/>
        <w:ind w:left="709"/>
        <w:rPr>
          <w:rFonts w:ascii="Arial" w:eastAsia="Arial" w:hAnsi="Arial" w:cs="Arial"/>
          <w:sz w:val="24"/>
          <w:szCs w:val="24"/>
        </w:rPr>
      </w:pPr>
    </w:p>
    <w:p w:rsidR="00444089" w:rsidRDefault="002D780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444089" w:rsidRDefault="002D7807">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444089" w:rsidRDefault="002D7807">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444089" w:rsidRDefault="002D7807">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444089" w:rsidRDefault="002D7807">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444089" w:rsidRDefault="002D7807">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444089" w:rsidRDefault="00444089">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44089">
        <w:trPr>
          <w:trHeight w:val="700"/>
        </w:trPr>
        <w:tc>
          <w:tcPr>
            <w:tcW w:w="2263" w:type="dxa"/>
            <w:shd w:val="clear" w:color="auto" w:fill="BFBFBF"/>
            <w:vAlign w:val="center"/>
          </w:tcPr>
          <w:p w:rsidR="00444089" w:rsidRDefault="002D780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444089" w:rsidRDefault="002D7807">
            <w:pPr>
              <w:jc w:val="center"/>
              <w:rPr>
                <w:rFonts w:ascii="Arial" w:eastAsia="Arial" w:hAnsi="Arial" w:cs="Arial"/>
                <w:b/>
                <w:sz w:val="24"/>
                <w:szCs w:val="24"/>
              </w:rPr>
            </w:pPr>
            <w:r>
              <w:rPr>
                <w:rFonts w:ascii="Arial" w:eastAsia="Arial" w:hAnsi="Arial" w:cs="Arial"/>
                <w:b/>
                <w:sz w:val="24"/>
                <w:szCs w:val="24"/>
              </w:rPr>
              <w:t>Details</w:t>
            </w:r>
          </w:p>
        </w:tc>
      </w:tr>
      <w:tr w:rsidR="00444089">
        <w:trPr>
          <w:trHeight w:val="162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rsidR="00444089" w:rsidRDefault="002D780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444089" w:rsidRDefault="002D780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444089" w:rsidRDefault="00444089">
            <w:pPr>
              <w:rPr>
                <w:rFonts w:ascii="Arial" w:eastAsia="Arial" w:hAnsi="Arial" w:cs="Arial"/>
                <w:sz w:val="24"/>
                <w:szCs w:val="24"/>
              </w:rPr>
            </w:pPr>
          </w:p>
          <w:p w:rsidR="00444089" w:rsidRDefault="002D7807">
            <w:pPr>
              <w:numPr>
                <w:ilvl w:val="0"/>
                <w:numId w:val="7"/>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w:t>
            </w:r>
            <w:r>
              <w:rPr>
                <w:rFonts w:ascii="Arial" w:eastAsia="Arial" w:hAnsi="Arial" w:cs="Arial"/>
                <w:i/>
                <w:sz w:val="24"/>
                <w:szCs w:val="24"/>
              </w:rPr>
              <w:t>pe of Personal Data which the purposes and means of the Processing by the Supplier is determined by the Relevant Authority]</w:t>
            </w:r>
          </w:p>
          <w:p w:rsidR="00444089" w:rsidRDefault="00444089">
            <w:pPr>
              <w:rPr>
                <w:rFonts w:ascii="Arial" w:eastAsia="Arial" w:hAnsi="Arial" w:cs="Arial"/>
                <w:sz w:val="24"/>
                <w:szCs w:val="24"/>
              </w:rPr>
            </w:pPr>
          </w:p>
          <w:p w:rsidR="00444089" w:rsidRDefault="002D780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444089" w:rsidRDefault="00444089">
            <w:pPr>
              <w:rPr>
                <w:rFonts w:ascii="Arial" w:eastAsia="Arial" w:hAnsi="Arial" w:cs="Arial"/>
                <w:i/>
                <w:sz w:val="24"/>
                <w:szCs w:val="24"/>
              </w:rPr>
            </w:pPr>
          </w:p>
          <w:p w:rsidR="00444089" w:rsidRDefault="002D7807">
            <w:pPr>
              <w:rPr>
                <w:rFonts w:ascii="Arial" w:eastAsia="Arial" w:hAnsi="Arial" w:cs="Arial"/>
                <w:i/>
                <w:sz w:val="24"/>
                <w:szCs w:val="24"/>
              </w:rPr>
            </w:pPr>
            <w:r>
              <w:rPr>
                <w:rFonts w:ascii="Arial" w:eastAsia="Arial" w:hAnsi="Arial" w:cs="Arial"/>
                <w:i/>
                <w:sz w:val="24"/>
                <w:szCs w:val="24"/>
              </w:rPr>
              <w:t>The Parties acknowledge that for the purposes of the Data Prote</w:t>
            </w:r>
            <w:r>
              <w:rPr>
                <w:rFonts w:ascii="Arial" w:eastAsia="Arial" w:hAnsi="Arial" w:cs="Arial"/>
                <w:i/>
                <w:sz w:val="24"/>
                <w:szCs w:val="24"/>
              </w:rPr>
              <w:t xml:space="preserv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444089" w:rsidRDefault="00444089">
            <w:pPr>
              <w:rPr>
                <w:rFonts w:ascii="Arial" w:eastAsia="Arial" w:hAnsi="Arial" w:cs="Arial"/>
                <w:sz w:val="24"/>
                <w:szCs w:val="24"/>
              </w:rPr>
            </w:pPr>
          </w:p>
          <w:p w:rsidR="00444089" w:rsidRDefault="002D7807">
            <w:pPr>
              <w:numPr>
                <w:ilvl w:val="0"/>
                <w:numId w:val="7"/>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444089" w:rsidRDefault="00444089">
            <w:pPr>
              <w:rPr>
                <w:rFonts w:ascii="Arial" w:eastAsia="Arial" w:hAnsi="Arial" w:cs="Arial"/>
                <w:sz w:val="24"/>
                <w:szCs w:val="24"/>
                <w:highlight w:val="yellow"/>
              </w:rPr>
            </w:pPr>
          </w:p>
          <w:p w:rsidR="00444089" w:rsidRDefault="002D7807">
            <w:pPr>
              <w:rPr>
                <w:rFonts w:ascii="Arial" w:eastAsia="Arial" w:hAnsi="Arial" w:cs="Arial"/>
                <w:b/>
                <w:sz w:val="24"/>
                <w:szCs w:val="24"/>
              </w:rPr>
            </w:pPr>
            <w:r>
              <w:rPr>
                <w:rFonts w:ascii="Arial" w:eastAsia="Arial" w:hAnsi="Arial" w:cs="Arial"/>
                <w:b/>
                <w:sz w:val="24"/>
                <w:szCs w:val="24"/>
              </w:rPr>
              <w:t>The Parties are Joint Controllers</w:t>
            </w:r>
          </w:p>
          <w:p w:rsidR="00444089" w:rsidRDefault="00444089">
            <w:pPr>
              <w:rPr>
                <w:rFonts w:ascii="Arial" w:eastAsia="Arial" w:hAnsi="Arial" w:cs="Arial"/>
                <w:i/>
                <w:sz w:val="24"/>
                <w:szCs w:val="24"/>
              </w:rPr>
            </w:pPr>
          </w:p>
          <w:p w:rsidR="00444089" w:rsidRDefault="002D780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w:t>
            </w:r>
            <w:r>
              <w:rPr>
                <w:rFonts w:ascii="Arial" w:eastAsia="Arial" w:hAnsi="Arial" w:cs="Arial"/>
                <w:i/>
                <w:sz w:val="24"/>
                <w:szCs w:val="24"/>
              </w:rPr>
              <w:t>tection Legislation in respect of:</w:t>
            </w:r>
          </w:p>
          <w:p w:rsidR="00444089" w:rsidRDefault="00444089">
            <w:pPr>
              <w:rPr>
                <w:rFonts w:ascii="Arial" w:eastAsia="Arial" w:hAnsi="Arial" w:cs="Arial"/>
                <w:b/>
                <w:i/>
                <w:sz w:val="24"/>
                <w:szCs w:val="24"/>
                <w:highlight w:val="yellow"/>
              </w:rPr>
            </w:pPr>
          </w:p>
          <w:p w:rsidR="00444089" w:rsidRDefault="002D780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444089" w:rsidRDefault="00444089">
            <w:pPr>
              <w:rPr>
                <w:rFonts w:ascii="Arial" w:eastAsia="Arial" w:hAnsi="Arial" w:cs="Arial"/>
                <w:i/>
                <w:sz w:val="24"/>
                <w:szCs w:val="24"/>
              </w:rPr>
            </w:pPr>
          </w:p>
          <w:p w:rsidR="00444089" w:rsidRDefault="002D7807">
            <w:pPr>
              <w:rPr>
                <w:rFonts w:ascii="Arial" w:eastAsia="Arial" w:hAnsi="Arial" w:cs="Arial"/>
                <w:i/>
                <w:sz w:val="24"/>
                <w:szCs w:val="24"/>
              </w:rPr>
            </w:pPr>
            <w:r>
              <w:rPr>
                <w:rFonts w:ascii="Arial" w:eastAsia="Arial" w:hAnsi="Arial" w:cs="Arial"/>
                <w:i/>
                <w:sz w:val="24"/>
                <w:szCs w:val="24"/>
              </w:rPr>
              <w:lastRenderedPageBreak/>
              <w:t xml:space="preserve"> </w:t>
            </w:r>
          </w:p>
          <w:p w:rsidR="00444089" w:rsidRDefault="002D7807">
            <w:pPr>
              <w:rPr>
                <w:rFonts w:ascii="Arial" w:eastAsia="Arial" w:hAnsi="Arial" w:cs="Arial"/>
                <w:b/>
                <w:sz w:val="24"/>
                <w:szCs w:val="24"/>
              </w:rPr>
            </w:pPr>
            <w:r>
              <w:rPr>
                <w:rFonts w:ascii="Arial" w:eastAsia="Arial" w:hAnsi="Arial" w:cs="Arial"/>
                <w:b/>
                <w:sz w:val="24"/>
                <w:szCs w:val="24"/>
              </w:rPr>
              <w:t>The Parties are Independent Controllers of Personal Data</w:t>
            </w:r>
          </w:p>
          <w:p w:rsidR="00444089" w:rsidRDefault="00444089">
            <w:pPr>
              <w:rPr>
                <w:rFonts w:ascii="Arial" w:eastAsia="Arial" w:hAnsi="Arial" w:cs="Arial"/>
                <w:b/>
                <w:i/>
                <w:sz w:val="24"/>
                <w:szCs w:val="24"/>
                <w:highlight w:val="yellow"/>
              </w:rPr>
            </w:pPr>
          </w:p>
          <w:p w:rsidR="00444089" w:rsidRDefault="002D780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444089" w:rsidRDefault="002D7807">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444089" w:rsidRDefault="002D7807">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sz w:val="24"/>
                <w:szCs w:val="24"/>
              </w:rPr>
              <w:t>r,</w:t>
            </w:r>
          </w:p>
          <w:p w:rsidR="00444089" w:rsidRDefault="002D7807">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the nature and purposes of its Processing the Personal Data on receipt e.g. where (1) the Supplier has professional or regu</w:t>
            </w:r>
            <w:r>
              <w:rPr>
                <w:rFonts w:ascii="Arial" w:eastAsia="Arial" w:hAnsi="Arial" w:cs="Arial"/>
                <w:i/>
                <w:sz w:val="24"/>
                <w:szCs w:val="24"/>
              </w:rPr>
              <w:t>latory obligations in respect of Personal Data received, (2) a standardised service is such that the Relevant Authority cannot dictate the way in which Personal Data is processed by the Supplier, or (3) where the  Supplier comes to the transaction with Per</w:t>
            </w:r>
            <w:r>
              <w:rPr>
                <w:rFonts w:ascii="Arial" w:eastAsia="Arial" w:hAnsi="Arial" w:cs="Arial"/>
                <w:i/>
                <w:sz w:val="24"/>
                <w:szCs w:val="24"/>
              </w:rPr>
              <w:t xml:space="preserve">sonal Data for which it is already Controller for use by the Relevant Authority] </w:t>
            </w:r>
          </w:p>
          <w:p w:rsidR="00444089" w:rsidRDefault="002D7807">
            <w:pPr>
              <w:rPr>
                <w:rFonts w:ascii="Arial" w:eastAsia="Arial" w:hAnsi="Arial" w:cs="Arial"/>
                <w:i/>
                <w:sz w:val="24"/>
                <w:szCs w:val="24"/>
              </w:rPr>
            </w:pPr>
            <w:r>
              <w:rPr>
                <w:rFonts w:ascii="Arial" w:eastAsia="Arial" w:hAnsi="Arial" w:cs="Arial"/>
                <w:i/>
                <w:sz w:val="24"/>
                <w:szCs w:val="24"/>
              </w:rPr>
              <w:t xml:space="preserve"> </w:t>
            </w:r>
          </w:p>
          <w:p w:rsidR="00444089" w:rsidRDefault="002D780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444089" w:rsidRDefault="00444089">
            <w:pPr>
              <w:rPr>
                <w:rFonts w:ascii="Arial" w:eastAsia="Arial" w:hAnsi="Arial" w:cs="Arial"/>
                <w:sz w:val="24"/>
                <w:szCs w:val="24"/>
              </w:rPr>
            </w:pPr>
          </w:p>
        </w:tc>
      </w:tr>
      <w:tr w:rsidR="00444089">
        <w:trPr>
          <w:trHeight w:val="146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lastRenderedPageBreak/>
              <w:t>Duration of</w:t>
            </w:r>
            <w:r>
              <w:rPr>
                <w:rFonts w:ascii="Arial" w:eastAsia="Arial" w:hAnsi="Arial" w:cs="Arial"/>
                <w:sz w:val="24"/>
                <w:szCs w:val="24"/>
              </w:rPr>
              <w:t xml:space="preserve"> the Processing</w:t>
            </w:r>
          </w:p>
        </w:tc>
        <w:tc>
          <w:tcPr>
            <w:tcW w:w="7423" w:type="dxa"/>
            <w:shd w:val="clear" w:color="auto" w:fill="auto"/>
          </w:tcPr>
          <w:p w:rsidR="00444089" w:rsidRDefault="002D780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444089">
        <w:trPr>
          <w:trHeight w:val="152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444089" w:rsidRDefault="002D780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444089" w:rsidRDefault="002D780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444089" w:rsidRDefault="002D780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444089">
        <w:trPr>
          <w:trHeight w:val="140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444089" w:rsidRDefault="002D780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444089">
        <w:trPr>
          <w:trHeight w:val="156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444089" w:rsidRDefault="002D780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444089">
        <w:trPr>
          <w:trHeight w:val="156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rsidR="00444089" w:rsidRDefault="002D7807">
            <w:pPr>
              <w:rPr>
                <w:rFonts w:ascii="Arial" w:eastAsia="Arial" w:hAnsi="Arial" w:cs="Arial"/>
                <w:i/>
                <w:sz w:val="24"/>
                <w:szCs w:val="24"/>
              </w:rPr>
            </w:pPr>
            <w:r>
              <w:rPr>
                <w:rFonts w:ascii="Arial" w:eastAsia="Arial" w:hAnsi="Arial" w:cs="Arial"/>
                <w:i/>
                <w:sz w:val="24"/>
                <w:szCs w:val="24"/>
              </w:rPr>
              <w:t xml:space="preserve">[Explain where </w:t>
            </w:r>
            <w:r>
              <w:rPr>
                <w:rFonts w:ascii="Arial" w:eastAsia="Arial" w:hAnsi="Arial" w:cs="Arial"/>
                <w:i/>
                <w:sz w:val="24"/>
                <w:szCs w:val="24"/>
              </w:rPr>
              <w:t>geographically personal data may be stored or accessed from. Explain the legal gateway you are relying on to export the data e.g. adequacy decision, EU SCCs, UK IDTA. Annex any SCCs or IDTA to this contract]</w:t>
            </w:r>
          </w:p>
        </w:tc>
      </w:tr>
      <w:tr w:rsidR="00444089">
        <w:trPr>
          <w:trHeight w:val="1660"/>
        </w:trPr>
        <w:tc>
          <w:tcPr>
            <w:tcW w:w="2263" w:type="dxa"/>
            <w:shd w:val="clear" w:color="auto" w:fill="auto"/>
          </w:tcPr>
          <w:p w:rsidR="00444089" w:rsidRDefault="002D7807">
            <w:pPr>
              <w:rPr>
                <w:rFonts w:ascii="Arial" w:eastAsia="Arial" w:hAnsi="Arial" w:cs="Arial"/>
                <w:sz w:val="24"/>
                <w:szCs w:val="24"/>
              </w:rPr>
            </w:pPr>
            <w:r>
              <w:rPr>
                <w:rFonts w:ascii="Arial" w:eastAsia="Arial" w:hAnsi="Arial" w:cs="Arial"/>
                <w:sz w:val="24"/>
                <w:szCs w:val="24"/>
              </w:rPr>
              <w:t>Plan for return and destruction of the data onc</w:t>
            </w:r>
            <w:r>
              <w:rPr>
                <w:rFonts w:ascii="Arial" w:eastAsia="Arial" w:hAnsi="Arial" w:cs="Arial"/>
                <w:sz w:val="24"/>
                <w:szCs w:val="24"/>
              </w:rPr>
              <w:t>e the Processing is complete</w:t>
            </w:r>
          </w:p>
          <w:p w:rsidR="00444089" w:rsidRDefault="002D780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444089" w:rsidRDefault="002D780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444089" w:rsidRDefault="00444089">
      <w:pPr>
        <w:rPr>
          <w:rFonts w:ascii="Arial" w:eastAsia="Arial" w:hAnsi="Arial" w:cs="Arial"/>
          <w:b/>
          <w:sz w:val="24"/>
          <w:szCs w:val="24"/>
        </w:rPr>
      </w:pPr>
    </w:p>
    <w:p w:rsidR="00444089" w:rsidRDefault="002D7807">
      <w:pPr>
        <w:rPr>
          <w:rFonts w:ascii="Arial" w:eastAsia="Arial" w:hAnsi="Arial" w:cs="Arial"/>
          <w:b/>
          <w:sz w:val="24"/>
          <w:szCs w:val="24"/>
        </w:rPr>
      </w:pPr>
      <w:r>
        <w:br w:type="page"/>
      </w:r>
    </w:p>
    <w:p w:rsidR="00444089" w:rsidRDefault="002D7807">
      <w:pPr>
        <w:rPr>
          <w:rFonts w:ascii="Arial" w:eastAsia="Arial" w:hAnsi="Arial" w:cs="Arial"/>
          <w:sz w:val="24"/>
          <w:szCs w:val="24"/>
        </w:rPr>
      </w:pPr>
      <w:r>
        <w:rPr>
          <w:rFonts w:ascii="Arial" w:eastAsia="Arial" w:hAnsi="Arial" w:cs="Arial"/>
          <w:b/>
          <w:sz w:val="24"/>
          <w:szCs w:val="24"/>
        </w:rPr>
        <w:lastRenderedPageBreak/>
        <w:t>Annex 2 - Joint Controller Agreement</w:t>
      </w:r>
    </w:p>
    <w:p w:rsidR="00444089" w:rsidRDefault="002D780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444089" w:rsidRDefault="002D7807">
      <w:pPr>
        <w:keepNext/>
        <w:rPr>
          <w:rFonts w:ascii="Arial" w:eastAsia="Arial" w:hAnsi="Arial" w:cs="Arial"/>
          <w:sz w:val="24"/>
          <w:szCs w:val="24"/>
        </w:rPr>
      </w:pPr>
      <w:bookmarkStart w:id="17" w:name="_heading=h.gjdgxs" w:colFirst="0" w:colLast="0"/>
      <w:bookmarkEnd w:id="17"/>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3-16 of Joint Schedule 11 (Where one Party is Controller and the other Party is Processor) and paragraphs 18-28 of Joint Schedule 11 (Independent Controllers of Personal Data). Acc</w:t>
      </w:r>
      <w:r>
        <w:rPr>
          <w:rFonts w:ascii="Arial" w:eastAsia="Arial" w:hAnsi="Arial" w:cs="Arial"/>
          <w:sz w:val="24"/>
          <w:szCs w:val="24"/>
        </w:rPr>
        <w:t xml:space="preserve">ordingly, the Parties each undertake to comply with the applicable Data Protection Legislation in respect of their Processing of such Personal Data as Data Controllers. </w:t>
      </w:r>
    </w:p>
    <w:p w:rsidR="00444089" w:rsidRDefault="002D780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w:t>
      </w:r>
      <w:r>
        <w:rPr>
          <w:rFonts w:ascii="Arial" w:eastAsia="Arial" w:hAnsi="Arial" w:cs="Arial"/>
          <w:sz w:val="24"/>
          <w:szCs w:val="24"/>
          <w:highlight w:val="white"/>
        </w:rPr>
        <w:t xml:space="preserve">of contact for Data Subjects and is responsible for using all reasonable </w:t>
      </w:r>
      <w:proofErr w:type="gramStart"/>
      <w:r>
        <w:rPr>
          <w:rFonts w:ascii="Arial" w:eastAsia="Arial" w:hAnsi="Arial" w:cs="Arial"/>
          <w:sz w:val="24"/>
          <w:szCs w:val="24"/>
          <w:highlight w:val="white"/>
        </w:rPr>
        <w:t>endeavours  to</w:t>
      </w:r>
      <w:proofErr w:type="gramEnd"/>
      <w:r>
        <w:rPr>
          <w:rFonts w:ascii="Arial" w:eastAsia="Arial" w:hAnsi="Arial" w:cs="Arial"/>
          <w:sz w:val="24"/>
          <w:szCs w:val="24"/>
          <w:highlight w:val="white"/>
        </w:rPr>
        <w:t xml:space="preserve"> comply with the UK GDPR regarding the exercise by Data Subjects of their rights under the UK GDPR;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w:t>
      </w:r>
      <w:r>
        <w:rPr>
          <w:rFonts w:ascii="Arial" w:eastAsia="Arial" w:hAnsi="Arial" w:cs="Arial"/>
          <w:sz w:val="24"/>
          <w:szCs w:val="24"/>
          <w:highlight w:val="white"/>
        </w:rPr>
        <w:t xml:space="preserve"> alternative in connection with the exercise of their rights as Data Subjects and for any enquiries concerning their Personal Data or privacy;</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w:t>
      </w:r>
      <w:r>
        <w:rPr>
          <w:rFonts w:ascii="Arial" w:eastAsia="Arial" w:hAnsi="Arial" w:cs="Arial"/>
          <w:sz w:val="24"/>
          <w:szCs w:val="24"/>
        </w:rPr>
        <w:t>rticles 13 and 14 of the UK GDPR;</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444089" w:rsidRDefault="002D7807">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w:t>
      </w:r>
      <w:r>
        <w:rPr>
          <w:rFonts w:ascii="Arial" w:eastAsia="Arial" w:hAnsi="Arial" w:cs="Arial"/>
          <w:sz w:val="24"/>
          <w:szCs w:val="24"/>
        </w:rPr>
        <w:t xml:space="preserve">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rsidR="00444089" w:rsidRDefault="002D7807">
      <w:pPr>
        <w:rPr>
          <w:rFonts w:ascii="Arial" w:eastAsia="Arial" w:hAnsi="Arial" w:cs="Arial"/>
          <w:sz w:val="24"/>
          <w:szCs w:val="24"/>
        </w:rPr>
      </w:pPr>
      <w:r>
        <w:rPr>
          <w:rFonts w:ascii="Arial" w:eastAsia="Arial" w:hAnsi="Arial" w:cs="Arial"/>
          <w:sz w:val="24"/>
          <w:szCs w:val="24"/>
        </w:rPr>
        <w:t>1.3 Notwithstanding the ter</w:t>
      </w:r>
      <w:r>
        <w:rPr>
          <w:rFonts w:ascii="Arial" w:eastAsia="Arial" w:hAnsi="Arial" w:cs="Arial"/>
          <w:sz w:val="24"/>
          <w:szCs w:val="24"/>
        </w:rPr>
        <w:t>ms of clause 1.2, the Parties acknowledge that a Data Subject has the right to exercise their legal rights under the Data Protection Legislation as against the relevant Party as Controller.</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444089" w:rsidRDefault="002D7807">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rsidR="00444089" w:rsidRDefault="002D7807">
      <w:pPr>
        <w:numPr>
          <w:ilvl w:val="2"/>
          <w:numId w:val="8"/>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that disclosure or transfer of Personal Data is otherwise considered to be lawful processing of that Personal Data in accordance with Article 6 of the UK GDPR or EU GDPR (as the context requires). For the avoidanc</w:t>
      </w:r>
      <w:r>
        <w:rPr>
          <w:rFonts w:ascii="Arial" w:eastAsia="Arial" w:hAnsi="Arial" w:cs="Arial"/>
          <w:sz w:val="24"/>
          <w:szCs w:val="24"/>
        </w:rPr>
        <w:t>e of doubt, the third party to which Personal Data is transferred must be subject to equivalent obligations which are no less onerous than those set out in this Annex;</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w:t>
      </w:r>
      <w:r>
        <w:rPr>
          <w:rFonts w:ascii="Arial" w:eastAsia="Arial" w:hAnsi="Arial" w:cs="Arial"/>
          <w:sz w:val="24"/>
          <w:szCs w:val="24"/>
        </w:rPr>
        <w:t>verables and treat such extracted information as Confidential Information;</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w:t>
      </w:r>
      <w:r>
        <w:rPr>
          <w:rFonts w:ascii="Arial" w:eastAsia="Arial" w:hAnsi="Arial" w:cs="Arial"/>
          <w:sz w:val="24"/>
          <w:szCs w:val="24"/>
        </w:rPr>
        <w:t>n or damage to the Personal Data and unauthorised or unlawful disclosure of or access to the Personal Data;</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use all reasonable </w:t>
      </w:r>
      <w:proofErr w:type="gramStart"/>
      <w:r>
        <w:rPr>
          <w:rFonts w:ascii="Arial" w:eastAsia="Arial" w:hAnsi="Arial" w:cs="Arial"/>
          <w:sz w:val="24"/>
          <w:szCs w:val="24"/>
        </w:rPr>
        <w:t>endeavours  to</w:t>
      </w:r>
      <w:proofErr w:type="gramEnd"/>
      <w:r>
        <w:rPr>
          <w:rFonts w:ascii="Arial" w:eastAsia="Arial" w:hAnsi="Arial" w:cs="Arial"/>
          <w:sz w:val="24"/>
          <w:szCs w:val="24"/>
        </w:rPr>
        <w:t xml:space="preserve"> ensure the reliability and integrity of any of its Personnel who have access to the Personal Data and ensure that </w:t>
      </w:r>
      <w:r>
        <w:rPr>
          <w:rFonts w:ascii="Arial" w:eastAsia="Arial" w:hAnsi="Arial" w:cs="Arial"/>
          <w:sz w:val="24"/>
          <w:szCs w:val="24"/>
        </w:rPr>
        <w:t>its Personnel:</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w:t>
      </w:r>
      <w:r>
        <w:rPr>
          <w:rFonts w:ascii="Arial" w:eastAsia="Arial" w:hAnsi="Arial" w:cs="Arial"/>
          <w:sz w:val="24"/>
          <w:szCs w:val="24"/>
        </w:rPr>
        <w:t xml:space="preserve"> of confidentiality and do not publish, disclose or divulge any of the Personal Data to any third party where the that Party would not be permitted to do so; and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w:t>
      </w:r>
      <w:r>
        <w:rPr>
          <w:rFonts w:ascii="Arial" w:eastAsia="Arial" w:hAnsi="Arial" w:cs="Arial"/>
          <w:sz w:val="24"/>
          <w:szCs w:val="24"/>
        </w:rPr>
        <w:t xml:space="preserve"> required by the applicable Data Protection Legislation;</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w:t>
      </w:r>
      <w:r>
        <w:rPr>
          <w:rFonts w:ascii="Arial" w:eastAsia="Arial" w:hAnsi="Arial" w:cs="Arial"/>
          <w:sz w:val="24"/>
          <w:szCs w:val="24"/>
        </w:rPr>
        <w:t xml:space="preserve"> provide or correct or delete at the request of a Data Subject all the Personal Data relating to that Data Subject that it holds; and</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w:t>
      </w:r>
      <w:r>
        <w:rPr>
          <w:rFonts w:ascii="Arial" w:eastAsia="Arial" w:hAnsi="Arial" w:cs="Arial"/>
          <w:sz w:val="24"/>
          <w:szCs w:val="24"/>
        </w:rPr>
        <w:t xml:space="preserve"> subject to UK GDPR, not transfer such Personal Data outside of the UK unless the prior written consent of the non-transferring Party has been obtained and the following conditions are fulfilled: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w:t>
      </w:r>
      <w:r>
        <w:rPr>
          <w:rFonts w:ascii="Arial" w:eastAsia="Arial" w:hAnsi="Arial" w:cs="Arial"/>
          <w:sz w:val="24"/>
          <w:szCs w:val="24"/>
        </w:rPr>
        <w:t>he UK government in accordance with Article 45 of the UK GDPR or DPA 2018 Section 74; or</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the UK GDPR or DPA 2018 Section 75) as</w:t>
      </w:r>
      <w:r>
        <w:rPr>
          <w:rFonts w:ascii="Arial" w:eastAsia="Arial" w:hAnsi="Arial" w:cs="Arial"/>
          <w:sz w:val="24"/>
          <w:szCs w:val="24"/>
        </w:rPr>
        <w:t xml:space="preserve">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International Data Transfer Agreement Addendum to the </w:t>
      </w:r>
      <w:r>
        <w:rPr>
          <w:rFonts w:ascii="Arial" w:eastAsia="Arial" w:hAnsi="Arial" w:cs="Arial"/>
          <w:sz w:val="24"/>
          <w:szCs w:val="24"/>
        </w:rPr>
        <w:lastRenderedPageBreak/>
        <w:t xml:space="preserve">European Commission’s SCCs (the </w:t>
      </w:r>
      <w:r>
        <w:rPr>
          <w:rFonts w:ascii="Arial" w:eastAsia="Arial" w:hAnsi="Arial" w:cs="Arial"/>
          <w:b/>
          <w:sz w:val="24"/>
          <w:szCs w:val="24"/>
        </w:rPr>
        <w:t>Addendum</w:t>
      </w:r>
      <w:r>
        <w:rPr>
          <w:rFonts w:ascii="Arial" w:eastAsia="Arial" w:hAnsi="Arial" w:cs="Arial"/>
          <w:sz w:val="24"/>
          <w:szCs w:val="24"/>
        </w:rPr>
        <w:t>”), as publi</w:t>
      </w:r>
      <w:r>
        <w:rPr>
          <w:rFonts w:ascii="Arial" w:eastAsia="Arial" w:hAnsi="Arial" w:cs="Arial"/>
          <w:sz w:val="24"/>
          <w:szCs w:val="24"/>
        </w:rPr>
        <w:t>shed by the Information Commissioner’s Office from time to time, as well as any additional measures;</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the Data Protection Legisl</w:t>
      </w:r>
      <w:r>
        <w:rPr>
          <w:rFonts w:ascii="Arial" w:eastAsia="Arial" w:hAnsi="Arial" w:cs="Arial"/>
          <w:sz w:val="24"/>
          <w:szCs w:val="24"/>
        </w:rPr>
        <w:t>ation by providing an adequate level of protection to any Personal Data that is transferred (or, if it is not so bound, uses its best endeavours to assist the non-transferring Party in meeting its obligations); and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the transferring Party complies with any </w:t>
      </w:r>
      <w:r>
        <w:rPr>
          <w:rFonts w:ascii="Arial" w:eastAsia="Arial" w:hAnsi="Arial" w:cs="Arial"/>
          <w:sz w:val="24"/>
          <w:szCs w:val="24"/>
        </w:rPr>
        <w:t>reasonable instructions notified to it in advance by the non-transferring Party with respect to the processing of the Personal Data; and</w:t>
      </w:r>
    </w:p>
    <w:p w:rsidR="00444089" w:rsidRDefault="002D780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outside of the EU unless the prior writt</w:t>
      </w:r>
      <w:r>
        <w:rPr>
          <w:rFonts w:ascii="Arial" w:eastAsia="Arial" w:hAnsi="Arial" w:cs="Arial"/>
          <w:sz w:val="24"/>
          <w:szCs w:val="24"/>
        </w:rPr>
        <w:t>en consent of the non-transferring Party has been obtained and the following conditions are fulfilled: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i</w:t>
      </w:r>
      <w:r>
        <w:rPr>
          <w:rFonts w:ascii="Arial" w:eastAsia="Arial" w:hAnsi="Arial" w:cs="Arial"/>
          <w:sz w:val="24"/>
          <w:szCs w:val="24"/>
        </w:rPr>
        <w:t>n accordance with Article 46 of the EU GDPR as determined by the non-transferring Party which could include relevant parties entering into Standard Contractual Clauses in the European Commission’s decision 2021/914/EU or such updated version of such Standa</w:t>
      </w:r>
      <w:r>
        <w:rPr>
          <w:rFonts w:ascii="Arial" w:eastAsia="Arial" w:hAnsi="Arial" w:cs="Arial"/>
          <w:sz w:val="24"/>
          <w:szCs w:val="24"/>
        </w:rPr>
        <w:t>rd Contractual Clauses as are published by the European Commission from time to time as well as any additional measures;</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EU GDPR by providing an adequate level of protection to any Personal Data that is transferred (or, if it is not so bound, uses its best endeavours to assist the non-transferring Party in meeting it</w:t>
      </w:r>
      <w:r>
        <w:rPr>
          <w:rFonts w:ascii="Arial" w:eastAsia="Arial" w:hAnsi="Arial" w:cs="Arial"/>
          <w:sz w:val="24"/>
          <w:szCs w:val="24"/>
        </w:rPr>
        <w:t>s obligations); and</w:t>
      </w:r>
    </w:p>
    <w:p w:rsidR="00444089" w:rsidRDefault="002D7807">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w:t>
      </w:r>
      <w:r>
        <w:rPr>
          <w:rFonts w:ascii="Arial" w:eastAsia="Arial" w:hAnsi="Arial" w:cs="Arial"/>
          <w:color w:val="000000"/>
          <w:sz w:val="24"/>
          <w:szCs w:val="24"/>
        </w:rPr>
        <w:t>to assist the other Controller to comply with any obligations under applicable Data Protection Legislation and shall not perform its obligations under this Annex in such a way as to cause the other Joint Controller to breach any of its obligations under ap</w:t>
      </w:r>
      <w:r>
        <w:rPr>
          <w:rFonts w:ascii="Arial" w:eastAsia="Arial" w:hAnsi="Arial" w:cs="Arial"/>
          <w:color w:val="000000"/>
          <w:sz w:val="24"/>
          <w:szCs w:val="24"/>
        </w:rPr>
        <w:t xml:space="preserve">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w:t>
      </w:r>
      <w:r>
        <w:rPr>
          <w:rFonts w:ascii="Arial" w:eastAsia="Arial" w:hAnsi="Arial" w:cs="Arial"/>
          <w:color w:val="000000"/>
          <w:sz w:val="24"/>
          <w:szCs w:val="24"/>
        </w:rPr>
        <w:t>mptly and without undue delay, and in any event within 48 hours, upon becoming aware of any Personal Data Breach or circumstances that are likely to give rise to a Personal Data Breach, providing the other Party and its advisors with:</w:t>
      </w:r>
    </w:p>
    <w:p w:rsidR="00444089" w:rsidRDefault="002D780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444089" w:rsidRDefault="002D780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444089" w:rsidRDefault="002D780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w:t>
      </w:r>
      <w:r>
        <w:rPr>
          <w:rFonts w:ascii="Arial" w:eastAsia="Arial" w:hAnsi="Arial" w:cs="Arial"/>
          <w:sz w:val="24"/>
          <w:szCs w:val="24"/>
        </w:rPr>
        <w:t>mation Commissioner investigating the Personal Data Breach and its cause, containing and recovering the compromised Personal Data and compliance with the applicable guidance;</w:t>
      </w:r>
    </w:p>
    <w:p w:rsidR="00444089" w:rsidRDefault="002D780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w:t>
      </w:r>
      <w:proofErr w:type="gramStart"/>
      <w:r>
        <w:rPr>
          <w:rFonts w:ascii="Arial" w:eastAsia="Arial" w:hAnsi="Arial" w:cs="Arial"/>
          <w:sz w:val="24"/>
          <w:szCs w:val="24"/>
        </w:rPr>
        <w:t>including  using</w:t>
      </w:r>
      <w:proofErr w:type="gramEnd"/>
      <w:r>
        <w:rPr>
          <w:rFonts w:ascii="Arial" w:eastAsia="Arial" w:hAnsi="Arial" w:cs="Arial"/>
          <w:sz w:val="24"/>
          <w:szCs w:val="24"/>
        </w:rPr>
        <w:t xml:space="preserve"> such reasonable endeavours  as are directed by the other Party to assist in the investigation, mitigation and remediation of a Personal Data Breach;</w:t>
      </w:r>
    </w:p>
    <w:p w:rsidR="00444089" w:rsidRDefault="002D780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w:t>
      </w:r>
      <w:r>
        <w:rPr>
          <w:rFonts w:ascii="Arial" w:eastAsia="Arial" w:hAnsi="Arial" w:cs="Arial"/>
          <w:sz w:val="24"/>
          <w:szCs w:val="24"/>
        </w:rPr>
        <w:t>ent of public relations and public statements relating to the Personal Data Breach; and/or</w:t>
      </w:r>
    </w:p>
    <w:p w:rsidR="00444089" w:rsidRDefault="002D780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providing the other Party and to the extent instructed by the other Party to do so, and/or the Information Commissioner investigating the Personal Data Breach, with </w:t>
      </w:r>
      <w:r>
        <w:rPr>
          <w:rFonts w:ascii="Arial" w:eastAsia="Arial" w:hAnsi="Arial" w:cs="Arial"/>
          <w:sz w:val="24"/>
          <w:szCs w:val="24"/>
        </w:rPr>
        <w:t>complete information relating to the Personal Data Breach, including, without limitation, the information set out in Clause 3.2.</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w:t>
      </w:r>
      <w:r>
        <w:rPr>
          <w:rFonts w:ascii="Arial" w:eastAsia="Arial" w:hAnsi="Arial" w:cs="Arial"/>
          <w:color w:val="000000"/>
          <w:sz w:val="24"/>
          <w:szCs w:val="24"/>
        </w:rPr>
        <w:t>st, damaged, destroyed, altered or corrupted as a result of a Personal Data Breach as it was  that Party’s own data at its own cost with all possible speed and shall provide the other Party with all reasonable assistance in respect of any such Personal Dat</w:t>
      </w:r>
      <w:r>
        <w:rPr>
          <w:rFonts w:ascii="Arial" w:eastAsia="Arial" w:hAnsi="Arial" w:cs="Arial"/>
          <w:color w:val="000000"/>
          <w:sz w:val="24"/>
          <w:szCs w:val="24"/>
        </w:rPr>
        <w:t>a Breach, including providing the other Party, as soon as possible and within 48 hours of the Personal Data Breach relating to the Personal Data Breach, in particular:</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w:t>
      </w:r>
      <w:r>
        <w:rPr>
          <w:rFonts w:ascii="Arial" w:eastAsia="Arial" w:hAnsi="Arial" w:cs="Arial"/>
          <w:sz w:val="24"/>
          <w:szCs w:val="24"/>
        </w:rPr>
        <w:t>l Data Breach; and</w:t>
      </w:r>
    </w:p>
    <w:p w:rsidR="00444089" w:rsidRDefault="002D780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444089" w:rsidRDefault="002D780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444089" w:rsidRDefault="002D780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444089" w:rsidRDefault="00444089">
      <w:pPr>
        <w:pBdr>
          <w:top w:val="nil"/>
          <w:left w:val="nil"/>
          <w:bottom w:val="nil"/>
          <w:right w:val="nil"/>
          <w:between w:val="nil"/>
        </w:pBdr>
        <w:spacing w:before="280" w:after="120" w:line="240" w:lineRule="auto"/>
        <w:jc w:val="both"/>
        <w:rPr>
          <w:rFonts w:ascii="Arial" w:eastAsia="Arial" w:hAnsi="Arial" w:cs="Arial"/>
          <w:sz w:val="24"/>
          <w:szCs w:val="24"/>
        </w:rPr>
      </w:pP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444089" w:rsidRDefault="002D7807">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444089" w:rsidRDefault="00444089">
      <w:pPr>
        <w:pBdr>
          <w:top w:val="nil"/>
          <w:left w:val="nil"/>
          <w:bottom w:val="nil"/>
          <w:right w:val="nil"/>
          <w:between w:val="nil"/>
        </w:pBdr>
        <w:spacing w:after="80"/>
        <w:ind w:left="11"/>
        <w:rPr>
          <w:rFonts w:ascii="Arial" w:eastAsia="Arial" w:hAnsi="Arial" w:cs="Arial"/>
          <w:sz w:val="24"/>
          <w:szCs w:val="24"/>
        </w:rPr>
      </w:pPr>
    </w:p>
    <w:p w:rsidR="00444089" w:rsidRDefault="002D7807">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444089" w:rsidRDefault="00444089">
      <w:pPr>
        <w:keepNext/>
        <w:rPr>
          <w:rFonts w:ascii="Arial" w:eastAsia="Arial" w:hAnsi="Arial" w:cs="Arial"/>
          <w:sz w:val="24"/>
          <w:szCs w:val="24"/>
        </w:rPr>
      </w:pP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444089" w:rsidRDefault="002D7807">
      <w:pPr>
        <w:ind w:left="720"/>
        <w:rPr>
          <w:rFonts w:ascii="Arial" w:eastAsia="Arial" w:hAnsi="Arial" w:cs="Arial"/>
          <w:sz w:val="24"/>
          <w:szCs w:val="24"/>
        </w:rPr>
      </w:pPr>
      <w:r>
        <w:rPr>
          <w:rFonts w:ascii="Arial" w:eastAsia="Arial" w:hAnsi="Arial" w:cs="Arial"/>
          <w:sz w:val="24"/>
          <w:szCs w:val="24"/>
        </w:rPr>
        <w:t>The Parties agree to take account of any non-mandatory guida</w:t>
      </w:r>
      <w:r>
        <w:rPr>
          <w:rFonts w:ascii="Arial" w:eastAsia="Arial" w:hAnsi="Arial" w:cs="Arial"/>
          <w:sz w:val="24"/>
          <w:szCs w:val="24"/>
        </w:rPr>
        <w:t xml:space="preserve">nce issued by the Information Commissioner, any relevant Central Government Body and/or </w:t>
      </w:r>
      <w:r>
        <w:rPr>
          <w:rFonts w:ascii="Arial" w:eastAsia="Arial" w:hAnsi="Arial" w:cs="Arial"/>
          <w:sz w:val="24"/>
          <w:szCs w:val="24"/>
        </w:rPr>
        <w:lastRenderedPageBreak/>
        <w:t>any other regulatory authority. The Relevant Authority may on not less than thirty (30) Working Days’ notice to the Supplier amend the Contract to ensure that it compli</w:t>
      </w:r>
      <w:r>
        <w:rPr>
          <w:rFonts w:ascii="Arial" w:eastAsia="Arial" w:hAnsi="Arial" w:cs="Arial"/>
          <w:sz w:val="24"/>
          <w:szCs w:val="24"/>
        </w:rPr>
        <w:t>es with any guidance issued by the Information Commissioner, any relevant Central Government Body and/or any other regulatory authority.</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444089" w:rsidRDefault="002D7807">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 xml:space="preserve">This clause represents a risk share, you may wish to reconsider the apportionment of liability and whether recoverability of losses </w:t>
      </w:r>
      <w:proofErr w:type="gramStart"/>
      <w:r>
        <w:rPr>
          <w:rFonts w:ascii="Arial" w:eastAsia="Arial" w:hAnsi="Arial" w:cs="Arial"/>
          <w:sz w:val="24"/>
          <w:szCs w:val="24"/>
          <w:highlight w:val="yellow"/>
        </w:rPr>
        <w:t>are</w:t>
      </w:r>
      <w:proofErr w:type="gramEnd"/>
      <w:r>
        <w:rPr>
          <w:rFonts w:ascii="Arial" w:eastAsia="Arial" w:hAnsi="Arial" w:cs="Arial"/>
          <w:sz w:val="24"/>
          <w:szCs w:val="24"/>
          <w:highlight w:val="yellow"/>
        </w:rPr>
        <w:t xml:space="preserve"> likely to be hindered by the contractual limitation of liability provisions]</w:t>
      </w:r>
      <w:r>
        <w:rPr>
          <w:rFonts w:ascii="Arial" w:eastAsia="Arial" w:hAnsi="Arial" w:cs="Arial"/>
          <w:sz w:val="24"/>
          <w:szCs w:val="24"/>
        </w:rPr>
        <w:t xml:space="preserve"> </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444089" w:rsidRDefault="002D780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444089" w:rsidRDefault="002D780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444089" w:rsidRDefault="002D780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 xml:space="preserve">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rsidR="00444089" w:rsidRDefault="002D780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444089" w:rsidRDefault="002D780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444089" w:rsidRDefault="002D780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444089" w:rsidRDefault="00444089">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444089" w:rsidRDefault="002D7807">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444089" w:rsidRDefault="002D7807">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444089" w:rsidRDefault="002D780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444089" w:rsidRDefault="002D780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444089" w:rsidRDefault="00444089">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44089" w:rsidRDefault="002D7807">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444089" w:rsidRDefault="002D780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w:t>
      </w:r>
      <w:r>
        <w:rPr>
          <w:rFonts w:ascii="Arial" w:eastAsia="Arial" w:hAnsi="Arial" w:cs="Arial"/>
          <w:color w:val="000000"/>
          <w:sz w:val="24"/>
          <w:szCs w:val="24"/>
        </w:rPr>
        <w:lastRenderedPageBreak/>
        <w:t>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Party for statutory compliance purposes or as otherwise required by the Contract), and taking all further actions as may be ne</w:t>
      </w:r>
      <w:r>
        <w:rPr>
          <w:rFonts w:ascii="Arial" w:eastAsia="Arial" w:hAnsi="Arial" w:cs="Arial"/>
          <w:color w:val="000000"/>
          <w:sz w:val="24"/>
          <w:szCs w:val="24"/>
        </w:rPr>
        <w:t xml:space="preserve">cessary to ensure its compliance with Data Protection Legislation and its privacy policy. </w:t>
      </w:r>
    </w:p>
    <w:p w:rsidR="00444089" w:rsidRDefault="0044408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444089" w:rsidRDefault="0044408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44408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807" w:rsidRDefault="002D7807">
      <w:pPr>
        <w:spacing w:after="0" w:line="240" w:lineRule="auto"/>
      </w:pPr>
      <w:r>
        <w:separator/>
      </w:r>
    </w:p>
  </w:endnote>
  <w:endnote w:type="continuationSeparator" w:id="0">
    <w:p w:rsidR="002D7807" w:rsidRDefault="002D7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89" w:rsidRDefault="002D78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59784E">
      <w:rPr>
        <w:rFonts w:ascii="Arial" w:eastAsia="Arial" w:hAnsi="Arial" w:cs="Arial"/>
        <w:sz w:val="20"/>
        <w:szCs w:val="20"/>
      </w:rPr>
      <w:t>6285</w:t>
    </w:r>
    <w:r>
      <w:rPr>
        <w:rFonts w:ascii="Arial" w:eastAsia="Arial" w:hAnsi="Arial" w:cs="Arial"/>
        <w:sz w:val="20"/>
        <w:szCs w:val="20"/>
      </w:rPr>
      <w:tab/>
    </w:r>
    <w:r>
      <w:rPr>
        <w:rFonts w:ascii="Arial" w:eastAsia="Arial" w:hAnsi="Arial" w:cs="Arial"/>
        <w:sz w:val="20"/>
        <w:szCs w:val="20"/>
      </w:rPr>
      <w:t xml:space="preserve">                                           </w:t>
    </w:r>
  </w:p>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9784E">
      <w:rPr>
        <w:rFonts w:ascii="Arial" w:eastAsia="Arial" w:hAnsi="Arial" w:cs="Arial"/>
        <w:color w:val="000000"/>
        <w:sz w:val="20"/>
        <w:szCs w:val="20"/>
      </w:rPr>
      <w:fldChar w:fldCharType="separate"/>
    </w:r>
    <w:r w:rsidR="0059784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444089" w:rsidRDefault="002D7807">
    <w:pPr>
      <w:spacing w:after="0"/>
    </w:pPr>
    <w:r>
      <w:rPr>
        <w:rFonts w:ascii="Arial" w:eastAsia="Arial" w:hAnsi="Arial" w:cs="Arial"/>
        <w:sz w:val="20"/>
        <w:szCs w:val="20"/>
      </w:rPr>
      <w:t>Model Version: v4.7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89" w:rsidRDefault="002D78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444089" w:rsidRDefault="002D780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807" w:rsidRDefault="002D7807">
      <w:pPr>
        <w:spacing w:after="0" w:line="240" w:lineRule="auto"/>
      </w:pPr>
      <w:r>
        <w:separator/>
      </w:r>
    </w:p>
  </w:footnote>
  <w:footnote w:type="continuationSeparator" w:id="0">
    <w:p w:rsidR="002D7807" w:rsidRDefault="002D7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444089" w:rsidRDefault="002D78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089" w:rsidRDefault="002D780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45E15"/>
    <w:multiLevelType w:val="multilevel"/>
    <w:tmpl w:val="449216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D3C65D9"/>
    <w:multiLevelType w:val="multilevel"/>
    <w:tmpl w:val="F6D26A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98D6648"/>
    <w:multiLevelType w:val="multilevel"/>
    <w:tmpl w:val="58DAF6E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1642E73"/>
    <w:multiLevelType w:val="multilevel"/>
    <w:tmpl w:val="55D64C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1D50505"/>
    <w:multiLevelType w:val="multilevel"/>
    <w:tmpl w:val="7F58EF9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81124A1"/>
    <w:multiLevelType w:val="multilevel"/>
    <w:tmpl w:val="E08A996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89B62B4"/>
    <w:multiLevelType w:val="multilevel"/>
    <w:tmpl w:val="CE6CA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EAD3CA3"/>
    <w:multiLevelType w:val="multilevel"/>
    <w:tmpl w:val="EC9A56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66C4236"/>
    <w:multiLevelType w:val="multilevel"/>
    <w:tmpl w:val="B5C48FC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6F062A"/>
    <w:multiLevelType w:val="multilevel"/>
    <w:tmpl w:val="67B28C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ECB6521"/>
    <w:multiLevelType w:val="multilevel"/>
    <w:tmpl w:val="D57807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A2D07F1"/>
    <w:multiLevelType w:val="multilevel"/>
    <w:tmpl w:val="8D0ED1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60C6FE8"/>
    <w:multiLevelType w:val="multilevel"/>
    <w:tmpl w:val="D772ADB4"/>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7A42E10"/>
    <w:multiLevelType w:val="multilevel"/>
    <w:tmpl w:val="8BBAD5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4"/>
  </w:num>
  <w:num w:numId="3">
    <w:abstractNumId w:val="6"/>
  </w:num>
  <w:num w:numId="4">
    <w:abstractNumId w:val="11"/>
  </w:num>
  <w:num w:numId="5">
    <w:abstractNumId w:val="3"/>
  </w:num>
  <w:num w:numId="6">
    <w:abstractNumId w:val="8"/>
  </w:num>
  <w:num w:numId="7">
    <w:abstractNumId w:val="10"/>
  </w:num>
  <w:num w:numId="8">
    <w:abstractNumId w:val="9"/>
  </w:num>
  <w:num w:numId="9">
    <w:abstractNumId w:val="7"/>
  </w:num>
  <w:num w:numId="10">
    <w:abstractNumId w:val="5"/>
  </w:num>
  <w:num w:numId="11">
    <w:abstractNumId w:val="1"/>
  </w:num>
  <w:num w:numId="12">
    <w:abstractNumId w:val="0"/>
  </w:num>
  <w:num w:numId="13">
    <w:abstractNumId w:val="13"/>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089"/>
    <w:rsid w:val="002D7807"/>
    <w:rsid w:val="00444089"/>
    <w:rsid w:val="00597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7AF6"/>
  <w15:docId w15:val="{2D84FF19-49AD-443C-97AE-7FF5B2F8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8JVRkrgBm0FrxfTeu0LAjljnJQ==">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EyMllpemxLcGlyNzIyNGVHakZkNTRKTlQxUUNjSnJJ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6194</Words>
  <Characters>35306</Characters>
  <Application>Microsoft Office Word</Application>
  <DocSecurity>0</DocSecurity>
  <Lines>294</Lines>
  <Paragraphs>82</Paragraphs>
  <ScaleCrop>false</ScaleCrop>
  <Company/>
  <LinksUpToDate>false</LinksUpToDate>
  <CharactersWithSpaces>41418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steve hopkins</cp:lastModifiedBy>
  <cp:revision>2</cp:revision>
  <dcterms:created xsi:type="dcterms:W3CDTF">2023-04-06T20:16:00Z</dcterms:created>
  <dcterms:modified xsi:type="dcterms:W3CDTF">2024-07-12T11:27:00Z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